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4BEE33" w14:textId="77777777" w:rsidR="008226A7" w:rsidRPr="008226A7" w:rsidRDefault="008226A7" w:rsidP="008226A7">
      <w:pPr>
        <w:jc w:val="center"/>
        <w:rPr>
          <w:b/>
          <w:bCs/>
          <w:color w:val="0070C0"/>
          <w:sz w:val="32"/>
          <w:szCs w:val="32"/>
        </w:rPr>
      </w:pPr>
      <w:r w:rsidRPr="008226A7">
        <w:rPr>
          <w:b/>
          <w:bCs/>
          <w:color w:val="0070C0"/>
          <w:sz w:val="32"/>
          <w:szCs w:val="32"/>
        </w:rPr>
        <w:t>"По стъпките на древните цивилизации: Чанаккале - Троя - Асос - Еджеабат"</w:t>
      </w:r>
    </w:p>
    <w:p w14:paraId="278B7BA7" w14:textId="77777777" w:rsidR="00D11C4C" w:rsidRDefault="00D11C4C" w:rsidP="005F4055">
      <w:pPr>
        <w:rPr>
          <w:b/>
          <w:bCs/>
          <w:color w:val="0070C0"/>
        </w:rPr>
      </w:pPr>
    </w:p>
    <w:p w14:paraId="36BF2871" w14:textId="62385E6E" w:rsidR="005F4055" w:rsidRPr="00A55286" w:rsidRDefault="005F4055" w:rsidP="005F4055">
      <w:pPr>
        <w:rPr>
          <w:b/>
          <w:bCs/>
          <w:color w:val="0070C0"/>
        </w:rPr>
      </w:pPr>
      <w:r w:rsidRPr="00A55286">
        <w:rPr>
          <w:b/>
          <w:bCs/>
          <w:color w:val="0070C0"/>
        </w:rPr>
        <w:t>Ден 1: Велико Търново – Чанаккале</w:t>
      </w:r>
      <w:r w:rsidR="00A55286" w:rsidRPr="00A55286">
        <w:rPr>
          <w:b/>
          <w:bCs/>
          <w:color w:val="0070C0"/>
        </w:rPr>
        <w:t xml:space="preserve"> – Троя </w:t>
      </w:r>
    </w:p>
    <w:p w14:paraId="7C45B3B8" w14:textId="31D92F28" w:rsidR="005F4055" w:rsidRDefault="00D11C4C" w:rsidP="005F4055">
      <w:r w:rsidRPr="00D11C4C">
        <w:rPr>
          <w:noProof/>
        </w:rPr>
        <w:drawing>
          <wp:anchor distT="0" distB="0" distL="114300" distR="114300" simplePos="0" relativeHeight="251660288" behindDoc="0" locked="0" layoutInCell="1" allowOverlap="1" wp14:anchorId="52B68F7E" wp14:editId="02287791">
            <wp:simplePos x="0" y="0"/>
            <wp:positionH relativeFrom="column">
              <wp:posOffset>2643</wp:posOffset>
            </wp:positionH>
            <wp:positionV relativeFrom="paragraph">
              <wp:posOffset>2312</wp:posOffset>
            </wp:positionV>
            <wp:extent cx="2447290" cy="1865630"/>
            <wp:effectExtent l="0" t="0" r="0" b="1270"/>
            <wp:wrapThrough wrapText="bothSides">
              <wp:wrapPolygon edited="0">
                <wp:start x="0" y="0"/>
                <wp:lineTo x="0" y="21394"/>
                <wp:lineTo x="21353" y="21394"/>
                <wp:lineTo x="21353"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47290" cy="1865630"/>
                    </a:xfrm>
                    <a:prstGeom prst="rect">
                      <a:avLst/>
                    </a:prstGeom>
                    <a:noFill/>
                    <a:ln>
                      <a:noFill/>
                    </a:ln>
                  </pic:spPr>
                </pic:pic>
              </a:graphicData>
            </a:graphic>
          </wp:anchor>
        </w:drawing>
      </w:r>
      <w:r w:rsidR="005F4055">
        <w:t>Отпътуване в 05:00 часа от Велико Търново, Габрово 05:45, Казанлък - 06:45 и Стара Загора 07:30  по маршрут – Одрин – Чанаккале.</w:t>
      </w:r>
      <w:r w:rsidR="005F4055" w:rsidRPr="005F4055">
        <w:t xml:space="preserve"> Пресичане на протока Дарданели по най-дългия висящ мост в света – „Чанаккале 1915“.</w:t>
      </w:r>
      <w:r w:rsidR="005F4055" w:rsidRPr="005F4055">
        <w:rPr>
          <w:rFonts w:ascii="Verdana" w:hAnsi="Verdana"/>
          <w:color w:val="000000"/>
          <w:sz w:val="21"/>
          <w:szCs w:val="21"/>
          <w:shd w:val="clear" w:color="auto" w:fill="FFFFFF"/>
        </w:rPr>
        <w:t xml:space="preserve"> </w:t>
      </w:r>
      <w:r w:rsidR="005F4055" w:rsidRPr="005F4055">
        <w:t xml:space="preserve">Със своите общо 5 км мостът е инженерно чудо, открито едва преди няколко </w:t>
      </w:r>
      <w:r w:rsidR="005F4055">
        <w:t>години</w:t>
      </w:r>
      <w:r w:rsidR="005F4055" w:rsidRPr="005F4055">
        <w:t xml:space="preserve">. </w:t>
      </w:r>
      <w:r w:rsidR="002050CD">
        <w:t xml:space="preserve"> За в</w:t>
      </w:r>
      <w:r w:rsidR="005F4055" w:rsidRPr="005F4055">
        <w:t>печатляващия строеж е</w:t>
      </w:r>
      <w:r w:rsidR="002050CD">
        <w:t xml:space="preserve"> използвана </w:t>
      </w:r>
      <w:r w:rsidR="005F4055" w:rsidRPr="005F4055">
        <w:t xml:space="preserve"> над 180 000 т стомана </w:t>
      </w:r>
      <w:r w:rsidR="002050CD">
        <w:t xml:space="preserve">,стойността на обекта е </w:t>
      </w:r>
      <w:r w:rsidR="005F4055" w:rsidRPr="005F4055">
        <w:t xml:space="preserve"> 2.5 милиарда евро. </w:t>
      </w:r>
      <w:r w:rsidR="00A55286">
        <w:t>Пристигане в Чанаккале п</w:t>
      </w:r>
      <w:r w:rsidR="005F4055" w:rsidRPr="005F4055">
        <w:t xml:space="preserve">реди обед. Туристическа програма: обиколка на </w:t>
      </w:r>
      <w:r w:rsidR="00B13D73">
        <w:t>града</w:t>
      </w:r>
      <w:r w:rsidR="005F4055" w:rsidRPr="005F4055">
        <w:t xml:space="preserve">. Името си </w:t>
      </w:r>
      <w:r w:rsidR="00B13D73">
        <w:t xml:space="preserve">мястото </w:t>
      </w:r>
      <w:r w:rsidR="005F4055" w:rsidRPr="005F4055">
        <w:t xml:space="preserve"> дължи на турската дума „canak“ – гърне. Древната традиция на грънчарството е прекрасно съхранена тук, а продуктите на местните занаятчии са известни далеч извън границите на страната. Освен на уютните местни магазинчета с керамични изделия, може да се насладите на множество приятни кафенета и ресторанти по крайбрежната алея. </w:t>
      </w:r>
      <w:r w:rsidR="005F4055">
        <w:t>Разглеждане на</w:t>
      </w:r>
      <w:r w:rsidR="005F4055" w:rsidRPr="005F4055">
        <w:t xml:space="preserve"> инсталираното в парка реалистично копие на Троянския кон, </w:t>
      </w:r>
      <w:r w:rsidR="002050CD">
        <w:t>подарено</w:t>
      </w:r>
      <w:r w:rsidR="005F4055" w:rsidRPr="005F4055">
        <w:t xml:space="preserve"> от екипа снимал култовия филм Троя.</w:t>
      </w:r>
      <w:r w:rsidR="005F4055">
        <w:t xml:space="preserve">Настаняване в хотел. </w:t>
      </w:r>
      <w:r w:rsidR="00A55286">
        <w:t>Сл</w:t>
      </w:r>
      <w:r w:rsidR="002050CD">
        <w:t>ед</w:t>
      </w:r>
      <w:r w:rsidR="00A55286">
        <w:t xml:space="preserve">обед екскурзия по </w:t>
      </w:r>
      <w:bookmarkStart w:id="0" w:name="_Hlk204165415"/>
      <w:r w:rsidR="00A55286">
        <w:t xml:space="preserve">желание </w:t>
      </w:r>
      <w:r w:rsidR="002D37F5">
        <w:t>/</w:t>
      </w:r>
      <w:r w:rsidR="00A55286">
        <w:t>срещу допълнително заплащане</w:t>
      </w:r>
      <w:r w:rsidR="002D37F5">
        <w:t xml:space="preserve"> – 35 евро/ </w:t>
      </w:r>
      <w:bookmarkEnd w:id="0"/>
      <w:r w:rsidR="00A55286">
        <w:t xml:space="preserve"> – посещение на Троя. </w:t>
      </w:r>
      <w:r w:rsidR="00A55286" w:rsidRPr="00A55286">
        <w:t xml:space="preserve">Митичната Троя, възпята от Омир в “Илиада”  днес (3 200 години по-късно) все още магнетично привлича туристи </w:t>
      </w:r>
      <w:r w:rsidR="00AF1D6E">
        <w:t xml:space="preserve"> с възможността </w:t>
      </w:r>
      <w:r w:rsidR="00A55286" w:rsidRPr="00A55286">
        <w:t xml:space="preserve">да минат по стъпките на </w:t>
      </w:r>
      <w:r w:rsidR="00B13D73">
        <w:t xml:space="preserve"> една красива любов  с </w:t>
      </w:r>
      <w:r w:rsidR="00A55286" w:rsidRPr="00A55286">
        <w:t>хубавата Елена и Парис и да чуят шепота на ветровете из руините на древния град. Смятана за легенда, преди да бъде открита от Шлиман през миналия век, Троя е в близост до модерния град Хисарлък, недалеч от Егейско море</w:t>
      </w:r>
      <w:r w:rsidR="00AF1D6E">
        <w:t xml:space="preserve"> и </w:t>
      </w:r>
      <w:r w:rsidR="00A55286" w:rsidRPr="00A55286">
        <w:t xml:space="preserve"> Чанаккале.</w:t>
      </w:r>
      <w:r w:rsidR="00A55286">
        <w:t xml:space="preserve"> Връщане в Чанаккале. </w:t>
      </w:r>
      <w:r w:rsidR="005F4055">
        <w:t>Нощувка.</w:t>
      </w:r>
      <w:r w:rsidR="00AF1D6E">
        <w:t>(1)</w:t>
      </w:r>
    </w:p>
    <w:p w14:paraId="105F7410" w14:textId="77777777" w:rsidR="005F4055" w:rsidRDefault="005F4055" w:rsidP="005F4055"/>
    <w:p w14:paraId="56B1F3A1" w14:textId="3A0F0945" w:rsidR="005F4055" w:rsidRPr="002D37F5" w:rsidRDefault="005F4055" w:rsidP="005F4055">
      <w:pPr>
        <w:rPr>
          <w:b/>
          <w:bCs/>
          <w:color w:val="0070C0"/>
        </w:rPr>
      </w:pPr>
      <w:r w:rsidRPr="002D37F5">
        <w:rPr>
          <w:b/>
          <w:bCs/>
          <w:color w:val="0070C0"/>
        </w:rPr>
        <w:t xml:space="preserve">Ден 2: Чанаккале </w:t>
      </w:r>
      <w:r w:rsidR="00A55286" w:rsidRPr="002D37F5">
        <w:rPr>
          <w:b/>
          <w:bCs/>
          <w:color w:val="0070C0"/>
        </w:rPr>
        <w:t>–</w:t>
      </w:r>
      <w:r w:rsidR="002D37F5" w:rsidRPr="002D37F5">
        <w:rPr>
          <w:b/>
          <w:bCs/>
          <w:color w:val="0070C0"/>
        </w:rPr>
        <w:t xml:space="preserve"> </w:t>
      </w:r>
      <w:r w:rsidR="00A55286" w:rsidRPr="002D37F5">
        <w:rPr>
          <w:b/>
          <w:bCs/>
          <w:color w:val="0070C0"/>
        </w:rPr>
        <w:t xml:space="preserve">Асос /Берхамкале/ - </w:t>
      </w:r>
      <w:r w:rsidR="0045380D">
        <w:rPr>
          <w:b/>
          <w:bCs/>
          <w:color w:val="0070C0"/>
        </w:rPr>
        <w:t>Олтара</w:t>
      </w:r>
      <w:r w:rsidR="00A55286" w:rsidRPr="002D37F5">
        <w:rPr>
          <w:b/>
          <w:bCs/>
          <w:color w:val="0070C0"/>
        </w:rPr>
        <w:t xml:space="preserve"> на Зевс </w:t>
      </w:r>
    </w:p>
    <w:p w14:paraId="330DED56" w14:textId="721355A8" w:rsidR="005F4055" w:rsidRDefault="00D11C4C" w:rsidP="00D11C4C">
      <w:pPr>
        <w:spacing w:after="0"/>
      </w:pPr>
      <w:r>
        <w:rPr>
          <w:noProof/>
        </w:rPr>
        <w:drawing>
          <wp:anchor distT="0" distB="0" distL="114300" distR="114300" simplePos="0" relativeHeight="251659264" behindDoc="0" locked="0" layoutInCell="1" allowOverlap="1" wp14:anchorId="678DECD1" wp14:editId="0D20E0FE">
            <wp:simplePos x="0" y="0"/>
            <wp:positionH relativeFrom="column">
              <wp:posOffset>2643</wp:posOffset>
            </wp:positionH>
            <wp:positionV relativeFrom="paragraph">
              <wp:posOffset>-811</wp:posOffset>
            </wp:positionV>
            <wp:extent cx="2415126" cy="1611342"/>
            <wp:effectExtent l="0" t="0" r="4445" b="8255"/>
            <wp:wrapThrough wrapText="bothSides">
              <wp:wrapPolygon edited="0">
                <wp:start x="0" y="0"/>
                <wp:lineTo x="0" y="21455"/>
                <wp:lineTo x="21469" y="21455"/>
                <wp:lineTo x="21469"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15126" cy="1611342"/>
                    </a:xfrm>
                    <a:prstGeom prst="rect">
                      <a:avLst/>
                    </a:prstGeom>
                    <a:noFill/>
                  </pic:spPr>
                </pic:pic>
              </a:graphicData>
            </a:graphic>
          </wp:anchor>
        </w:drawing>
      </w:r>
      <w:r w:rsidR="005F4055">
        <w:t>Закуска. Свободно време за разходка в Чанаккале – или възможност за екскурзия с</w:t>
      </w:r>
      <w:r w:rsidR="00AF1D6E">
        <w:t xml:space="preserve">рещу </w:t>
      </w:r>
      <w:r w:rsidR="005F4055">
        <w:t xml:space="preserve"> допълнително заплащане:</w:t>
      </w:r>
    </w:p>
    <w:p w14:paraId="0D10EF5C" w14:textId="65A3D88E" w:rsidR="005F4055" w:rsidRDefault="005F4055" w:rsidP="00D11C4C">
      <w:pPr>
        <w:spacing w:after="0"/>
      </w:pPr>
      <w:r>
        <w:t xml:space="preserve"> Асос- Бехрамкале</w:t>
      </w:r>
      <w:r w:rsidR="0045380D">
        <w:t xml:space="preserve"> </w:t>
      </w:r>
      <w:r>
        <w:t>,</w:t>
      </w:r>
      <w:r w:rsidR="002D37F5">
        <w:t xml:space="preserve"> </w:t>
      </w:r>
      <w:r>
        <w:t>известен в древността с филосовската школа на Аристотел</w:t>
      </w:r>
      <w:r w:rsidR="0045380D">
        <w:t xml:space="preserve"> </w:t>
      </w:r>
      <w:r w:rsidR="0045380D" w:rsidRPr="0045380D">
        <w:t xml:space="preserve"> / 35 евро/</w:t>
      </w:r>
      <w:r>
        <w:t>. Асос е разположен на уникално място над Едремитския залив,</w:t>
      </w:r>
      <w:r w:rsidR="002D37F5">
        <w:t xml:space="preserve"> </w:t>
      </w:r>
      <w:r>
        <w:t>градът предлага спиращи дъха гледки към Егейско море и остров Лесбос,</w:t>
      </w:r>
      <w:r w:rsidR="002D37F5">
        <w:t xml:space="preserve"> </w:t>
      </w:r>
      <w:r>
        <w:t>място на което често сядал да си почива и самият Зевс.</w:t>
      </w:r>
      <w:r w:rsidR="002D37F5">
        <w:t xml:space="preserve"> Отпътуване за Адатепе и посещение на </w:t>
      </w:r>
      <w:r w:rsidR="0045380D">
        <w:t>Олтара</w:t>
      </w:r>
      <w:r w:rsidR="002D37F5">
        <w:t xml:space="preserve"> на Зевс. </w:t>
      </w:r>
      <w:r w:rsidR="0045380D" w:rsidRPr="0045380D">
        <w:t>Село Адатепе, уникален синтез на турска и гръцка култура, е свидетел на</w:t>
      </w:r>
      <w:r w:rsidR="00263DDB">
        <w:t xml:space="preserve"> бурни исторически промени.</w:t>
      </w:r>
      <w:r w:rsidR="0045380D" w:rsidRPr="0045380D">
        <w:t xml:space="preserve"> Обявено за градска защитена зона през 1989 г., това село предлага уникално преживяване, което ще ви отведе на пътешествие във времето със своите каменни къщи, тесни улички, маслинови и борови дървета и магическа атмосфера, всички </w:t>
      </w:r>
      <w:r w:rsidR="00B13D73">
        <w:t xml:space="preserve">точно </w:t>
      </w:r>
      <w:r w:rsidR="0045380D" w:rsidRPr="0045380D">
        <w:t xml:space="preserve"> възстановени в първоначалното си състояние.</w:t>
      </w:r>
      <w:r w:rsidR="0045380D">
        <w:t xml:space="preserve"> </w:t>
      </w:r>
      <w:r w:rsidR="0045380D" w:rsidRPr="0045380D">
        <w:t>На входа на селото има олтар, известен като „Олтарът на Зевс“, за който се смята, че датира от късния римски период. Твърди се, че олтарът е бил посветен на Зевс, главния бог на гръцката митология, по време на римския период. Омир твърди, че Зевс е наблюдавал Троянската война оттук. Смята се, че този олтар е служил и като цистерна през византийския период.</w:t>
      </w:r>
      <w:r w:rsidR="0045380D">
        <w:t xml:space="preserve"> Връщане в Чанаккале. </w:t>
      </w:r>
      <w:r>
        <w:t>Нощувка.</w:t>
      </w:r>
      <w:r w:rsidR="00263DDB">
        <w:t>(2)</w:t>
      </w:r>
    </w:p>
    <w:p w14:paraId="76E3917D" w14:textId="3A78CF52" w:rsidR="005F4055" w:rsidRDefault="005F4055" w:rsidP="005F4055"/>
    <w:p w14:paraId="61A0C332" w14:textId="77777777" w:rsidR="00D11C4C" w:rsidRDefault="00D11C4C" w:rsidP="005F4055">
      <w:pPr>
        <w:rPr>
          <w:b/>
          <w:bCs/>
          <w:color w:val="0070C0"/>
        </w:rPr>
      </w:pPr>
      <w:r>
        <w:rPr>
          <w:noProof/>
        </w:rPr>
        <w:lastRenderedPageBreak/>
        <w:drawing>
          <wp:anchor distT="0" distB="0" distL="114300" distR="114300" simplePos="0" relativeHeight="251658240" behindDoc="1" locked="0" layoutInCell="1" allowOverlap="1" wp14:anchorId="7536B919" wp14:editId="120EC6A9">
            <wp:simplePos x="0" y="0"/>
            <wp:positionH relativeFrom="margin">
              <wp:posOffset>31714</wp:posOffset>
            </wp:positionH>
            <wp:positionV relativeFrom="paragraph">
              <wp:posOffset>185703</wp:posOffset>
            </wp:positionV>
            <wp:extent cx="2177415" cy="1633220"/>
            <wp:effectExtent l="0" t="0" r="0" b="5080"/>
            <wp:wrapThrough wrapText="bothSides">
              <wp:wrapPolygon edited="0">
                <wp:start x="0" y="0"/>
                <wp:lineTo x="0" y="21415"/>
                <wp:lineTo x="21354" y="21415"/>
                <wp:lineTo x="2135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77415" cy="1633220"/>
                    </a:xfrm>
                    <a:prstGeom prst="rect">
                      <a:avLst/>
                    </a:prstGeom>
                    <a:noFill/>
                  </pic:spPr>
                </pic:pic>
              </a:graphicData>
            </a:graphic>
            <wp14:sizeRelH relativeFrom="margin">
              <wp14:pctWidth>0</wp14:pctWidth>
            </wp14:sizeRelH>
            <wp14:sizeRelV relativeFrom="margin">
              <wp14:pctHeight>0</wp14:pctHeight>
            </wp14:sizeRelV>
          </wp:anchor>
        </w:drawing>
      </w:r>
      <w:r w:rsidR="0045380D" w:rsidRPr="0045380D">
        <w:rPr>
          <w:b/>
          <w:bCs/>
          <w:color w:val="0070C0"/>
        </w:rPr>
        <w:t xml:space="preserve">Ден 3: Чанаккале – Еджеабат – Велико Търново </w:t>
      </w:r>
    </w:p>
    <w:p w14:paraId="12F1888F" w14:textId="330A31F2" w:rsidR="0045380D" w:rsidRDefault="0045380D" w:rsidP="005F4055">
      <w:r>
        <w:t xml:space="preserve">Закуска. Отпътуване с ферибот до Еджеабат. Посещение на </w:t>
      </w:r>
      <w:r w:rsidRPr="0045380D">
        <w:t xml:space="preserve">Парк </w:t>
      </w:r>
      <w:bookmarkStart w:id="1" w:name="_Hlk204166628"/>
      <w:r w:rsidRPr="0045380D">
        <w:t>"Уважение към историята</w:t>
      </w:r>
      <w:r>
        <w:t>“</w:t>
      </w:r>
      <w:r w:rsidR="00D11C4C">
        <w:t xml:space="preserve"> </w:t>
      </w:r>
      <w:bookmarkEnd w:id="1"/>
      <w:r w:rsidR="00D11C4C">
        <w:t>/ включено в цената/</w:t>
      </w:r>
      <w:r>
        <w:t xml:space="preserve">. </w:t>
      </w:r>
      <w:r w:rsidRPr="0045380D">
        <w:t xml:space="preserve">Разположен точно до фериботния терминал, паркът е построен през 2008 г. и е реновиран два пъти - през 2010 г. и 2013 г. Паркът </w:t>
      </w:r>
      <w:r w:rsidR="004B5178">
        <w:t xml:space="preserve">показва </w:t>
      </w:r>
      <w:r w:rsidRPr="0045380D">
        <w:t xml:space="preserve"> оръдия, принадлежащи на крепостите, </w:t>
      </w:r>
      <w:r w:rsidR="004B5178">
        <w:t xml:space="preserve">военно оборудване </w:t>
      </w:r>
      <w:r w:rsidRPr="0045380D">
        <w:t xml:space="preserve"> и паметни</w:t>
      </w:r>
      <w:r w:rsidR="00D11C4C">
        <w:t>к</w:t>
      </w:r>
      <w:r w:rsidRPr="0045380D">
        <w:t xml:space="preserve"> </w:t>
      </w:r>
      <w:r w:rsidR="004B5178">
        <w:t xml:space="preserve">в чест на </w:t>
      </w:r>
      <w:r w:rsidRPr="0045380D">
        <w:t xml:space="preserve"> войници</w:t>
      </w:r>
      <w:r w:rsidR="004B5178">
        <w:t>те</w:t>
      </w:r>
      <w:r w:rsidRPr="0045380D">
        <w:t xml:space="preserve"> от всички страни, участвали във войната</w:t>
      </w:r>
      <w:r w:rsidR="00D11C4C">
        <w:t xml:space="preserve">. Отпътуване за България. Пристигане късно вечерта. </w:t>
      </w:r>
    </w:p>
    <w:p w14:paraId="5F25460C" w14:textId="33FD2E33" w:rsidR="00D11C4C" w:rsidRDefault="00D11C4C" w:rsidP="005F4055"/>
    <w:p w14:paraId="1983CBDA" w14:textId="77777777" w:rsidR="00D11C4C" w:rsidRPr="00D11C4C" w:rsidRDefault="00D11C4C" w:rsidP="00D11C4C">
      <w:pPr>
        <w:spacing w:after="0" w:line="240" w:lineRule="auto"/>
        <w:rPr>
          <w:rFonts w:ascii="Times New Roman" w:eastAsia="Times New Roman" w:hAnsi="Times New Roman" w:cs="Times New Roman"/>
          <w:sz w:val="24"/>
          <w:szCs w:val="24"/>
          <w:lang w:eastAsia="bg-BG"/>
        </w:rPr>
      </w:pPr>
      <w:r w:rsidRPr="00D11C4C">
        <w:rPr>
          <w:rFonts w:ascii="Calibri" w:eastAsia="Times New Roman" w:hAnsi="Calibri" w:cs="Calibri"/>
          <w:b/>
          <w:bCs/>
          <w:color w:val="000080"/>
          <w:sz w:val="24"/>
          <w:szCs w:val="24"/>
          <w:lang w:eastAsia="bg-BG"/>
        </w:rPr>
        <w:t>Дати на отпътуване и цени</w:t>
      </w:r>
      <w:r w:rsidRPr="00D11C4C">
        <w:rPr>
          <w:rFonts w:ascii="Times New Roman" w:eastAsia="Times New Roman" w:hAnsi="Times New Roman" w:cs="Times New Roman"/>
          <w:sz w:val="24"/>
          <w:szCs w:val="24"/>
          <w:lang w:eastAsia="bg-BG"/>
        </w:rPr>
        <w:t xml:space="preserve"> </w:t>
      </w:r>
    </w:p>
    <w:tbl>
      <w:tblPr>
        <w:tblW w:w="7500" w:type="dxa"/>
        <w:jc w:val="center"/>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881"/>
        <w:gridCol w:w="593"/>
        <w:gridCol w:w="1998"/>
        <w:gridCol w:w="1488"/>
        <w:gridCol w:w="1540"/>
      </w:tblGrid>
      <w:tr w:rsidR="00D11C4C" w:rsidRPr="00D11C4C" w14:paraId="38969CB9" w14:textId="77777777" w:rsidTr="00D11C4C">
        <w:trPr>
          <w:tblHeade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0302529" w14:textId="77777777" w:rsidR="00D11C4C" w:rsidRPr="00D11C4C" w:rsidRDefault="00D11C4C" w:rsidP="00D11C4C">
            <w:pPr>
              <w:spacing w:after="0" w:line="240" w:lineRule="auto"/>
              <w:jc w:val="center"/>
              <w:rPr>
                <w:rFonts w:ascii="Times New Roman" w:eastAsia="Times New Roman" w:hAnsi="Times New Roman" w:cs="Times New Roman"/>
                <w:b/>
                <w:bCs/>
                <w:sz w:val="24"/>
                <w:szCs w:val="24"/>
                <w:lang w:eastAsia="bg-BG"/>
              </w:rPr>
            </w:pPr>
            <w:r w:rsidRPr="00D11C4C">
              <w:rPr>
                <w:rFonts w:ascii="Calibri" w:eastAsia="Times New Roman" w:hAnsi="Calibri" w:cs="Calibri"/>
                <w:b/>
                <w:bCs/>
                <w:sz w:val="24"/>
                <w:szCs w:val="24"/>
                <w:lang w:eastAsia="bg-BG"/>
              </w:rPr>
              <w:t xml:space="preserve">Дата    </w:t>
            </w:r>
          </w:p>
        </w:tc>
        <w:tc>
          <w:tcPr>
            <w:tcW w:w="0" w:type="auto"/>
            <w:tcBorders>
              <w:top w:val="outset" w:sz="6" w:space="0" w:color="auto"/>
              <w:left w:val="outset" w:sz="6" w:space="0" w:color="auto"/>
              <w:bottom w:val="outset" w:sz="6" w:space="0" w:color="auto"/>
              <w:right w:val="outset" w:sz="6" w:space="0" w:color="auto"/>
            </w:tcBorders>
            <w:vAlign w:val="center"/>
            <w:hideMark/>
          </w:tcPr>
          <w:p w14:paraId="020E943A" w14:textId="77777777" w:rsidR="00D11C4C" w:rsidRPr="00D11C4C" w:rsidRDefault="00D11C4C" w:rsidP="00D11C4C">
            <w:pPr>
              <w:spacing w:after="0" w:line="240" w:lineRule="auto"/>
              <w:jc w:val="center"/>
              <w:rPr>
                <w:rFonts w:ascii="Times New Roman" w:eastAsia="Times New Roman" w:hAnsi="Times New Roman" w:cs="Times New Roman"/>
                <w:b/>
                <w:bCs/>
                <w:sz w:val="24"/>
                <w:szCs w:val="24"/>
                <w:lang w:eastAsia="bg-BG"/>
              </w:rPr>
            </w:pPr>
            <w:r w:rsidRPr="00D11C4C">
              <w:rPr>
                <w:rFonts w:ascii="Calibri" w:eastAsia="Times New Roman" w:hAnsi="Calibri" w:cs="Calibri"/>
                <w:b/>
                <w:bCs/>
                <w:sz w:val="24"/>
                <w:szCs w:val="24"/>
                <w:lang w:eastAsia="bg-BG"/>
              </w:rPr>
              <w:t>База</w:t>
            </w:r>
          </w:p>
        </w:tc>
        <w:tc>
          <w:tcPr>
            <w:tcW w:w="0" w:type="auto"/>
            <w:tcBorders>
              <w:top w:val="outset" w:sz="6" w:space="0" w:color="auto"/>
              <w:left w:val="outset" w:sz="6" w:space="0" w:color="auto"/>
              <w:bottom w:val="outset" w:sz="6" w:space="0" w:color="auto"/>
              <w:right w:val="outset" w:sz="6" w:space="0" w:color="auto"/>
            </w:tcBorders>
            <w:vAlign w:val="center"/>
            <w:hideMark/>
          </w:tcPr>
          <w:p w14:paraId="04593224" w14:textId="77777777" w:rsidR="00D11C4C" w:rsidRPr="00D11C4C" w:rsidRDefault="00D11C4C" w:rsidP="00D11C4C">
            <w:pPr>
              <w:spacing w:after="0" w:line="240" w:lineRule="auto"/>
              <w:jc w:val="center"/>
              <w:rPr>
                <w:rFonts w:ascii="Times New Roman" w:eastAsia="Times New Roman" w:hAnsi="Times New Roman" w:cs="Times New Roman"/>
                <w:b/>
                <w:bCs/>
                <w:sz w:val="24"/>
                <w:szCs w:val="24"/>
                <w:lang w:eastAsia="bg-BG"/>
              </w:rPr>
            </w:pPr>
            <w:r w:rsidRPr="00D11C4C">
              <w:rPr>
                <w:rFonts w:ascii="Calibri" w:eastAsia="Times New Roman" w:hAnsi="Calibri" w:cs="Calibri"/>
                <w:b/>
                <w:bCs/>
                <w:sz w:val="24"/>
                <w:szCs w:val="24"/>
                <w:lang w:eastAsia="bg-BG"/>
              </w:rPr>
              <w:t>Възрастен в двойна стая</w:t>
            </w:r>
          </w:p>
        </w:tc>
        <w:tc>
          <w:tcPr>
            <w:tcW w:w="0" w:type="auto"/>
            <w:tcBorders>
              <w:top w:val="outset" w:sz="6" w:space="0" w:color="auto"/>
              <w:left w:val="outset" w:sz="6" w:space="0" w:color="auto"/>
              <w:bottom w:val="outset" w:sz="6" w:space="0" w:color="auto"/>
              <w:right w:val="outset" w:sz="6" w:space="0" w:color="auto"/>
            </w:tcBorders>
            <w:vAlign w:val="center"/>
            <w:hideMark/>
          </w:tcPr>
          <w:p w14:paraId="6CE543FA" w14:textId="77777777" w:rsidR="00D11C4C" w:rsidRPr="00D11C4C" w:rsidRDefault="00D11C4C" w:rsidP="00D11C4C">
            <w:pPr>
              <w:spacing w:after="0" w:line="240" w:lineRule="auto"/>
              <w:jc w:val="center"/>
              <w:rPr>
                <w:rFonts w:ascii="Times New Roman" w:eastAsia="Times New Roman" w:hAnsi="Times New Roman" w:cs="Times New Roman"/>
                <w:b/>
                <w:bCs/>
                <w:sz w:val="24"/>
                <w:szCs w:val="24"/>
                <w:lang w:eastAsia="bg-BG"/>
              </w:rPr>
            </w:pPr>
            <w:r w:rsidRPr="00D11C4C">
              <w:rPr>
                <w:rFonts w:ascii="Calibri" w:eastAsia="Times New Roman" w:hAnsi="Calibri" w:cs="Calibri"/>
                <w:b/>
                <w:bCs/>
                <w:sz w:val="24"/>
                <w:szCs w:val="24"/>
                <w:lang w:eastAsia="bg-BG"/>
              </w:rPr>
              <w:t>Единична стая</w:t>
            </w:r>
          </w:p>
        </w:tc>
        <w:tc>
          <w:tcPr>
            <w:tcW w:w="0" w:type="auto"/>
            <w:tcBorders>
              <w:top w:val="outset" w:sz="6" w:space="0" w:color="auto"/>
              <w:left w:val="outset" w:sz="6" w:space="0" w:color="auto"/>
              <w:bottom w:val="outset" w:sz="6" w:space="0" w:color="auto"/>
              <w:right w:val="outset" w:sz="6" w:space="0" w:color="auto"/>
            </w:tcBorders>
            <w:vAlign w:val="center"/>
            <w:hideMark/>
          </w:tcPr>
          <w:p w14:paraId="326DC7CC" w14:textId="77777777" w:rsidR="00D11C4C" w:rsidRPr="00D11C4C" w:rsidRDefault="00D11C4C" w:rsidP="00D11C4C">
            <w:pPr>
              <w:spacing w:after="0" w:line="240" w:lineRule="auto"/>
              <w:jc w:val="center"/>
              <w:rPr>
                <w:rFonts w:ascii="Times New Roman" w:eastAsia="Times New Roman" w:hAnsi="Times New Roman" w:cs="Times New Roman"/>
                <w:b/>
                <w:bCs/>
                <w:sz w:val="24"/>
                <w:szCs w:val="24"/>
                <w:lang w:eastAsia="bg-BG"/>
              </w:rPr>
            </w:pPr>
            <w:r w:rsidRPr="00D11C4C">
              <w:rPr>
                <w:rFonts w:ascii="Calibri" w:eastAsia="Times New Roman" w:hAnsi="Calibri" w:cs="Calibri"/>
                <w:b/>
                <w:bCs/>
                <w:sz w:val="24"/>
                <w:szCs w:val="24"/>
                <w:lang w:eastAsia="bg-BG"/>
              </w:rPr>
              <w:t>Трети възрастен</w:t>
            </w:r>
          </w:p>
        </w:tc>
      </w:tr>
      <w:tr w:rsidR="00D11C4C" w:rsidRPr="00D11C4C" w14:paraId="14831837" w14:textId="77777777" w:rsidTr="00D11C4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5074738" w14:textId="04F63E4D" w:rsidR="00D11C4C" w:rsidRPr="00D11C4C" w:rsidRDefault="00D11C4C" w:rsidP="00D11C4C">
            <w:pPr>
              <w:spacing w:after="0" w:line="240" w:lineRule="auto"/>
              <w:rPr>
                <w:rFonts w:ascii="Times New Roman" w:eastAsia="Times New Roman" w:hAnsi="Times New Roman" w:cs="Times New Roman"/>
                <w:sz w:val="24"/>
                <w:szCs w:val="24"/>
                <w:lang w:eastAsia="bg-BG"/>
              </w:rPr>
            </w:pPr>
            <w:r w:rsidRPr="00D11C4C">
              <w:rPr>
                <w:rFonts w:ascii="Times New Roman" w:eastAsia="Times New Roman" w:hAnsi="Times New Roman" w:cs="Times New Roman"/>
                <w:sz w:val="24"/>
                <w:szCs w:val="24"/>
                <w:lang w:eastAsia="bg-BG"/>
              </w:rPr>
              <w:br/>
            </w:r>
            <w:r>
              <w:rPr>
                <w:rFonts w:ascii="Calibri" w:eastAsia="Times New Roman" w:hAnsi="Calibri" w:cs="Calibri"/>
                <w:sz w:val="24"/>
                <w:szCs w:val="24"/>
                <w:lang w:val="en-US" w:eastAsia="bg-BG"/>
              </w:rPr>
              <w:t>31.10</w:t>
            </w:r>
            <w:r w:rsidRPr="00D11C4C">
              <w:rPr>
                <w:rFonts w:ascii="Calibri" w:eastAsia="Times New Roman" w:hAnsi="Calibri" w:cs="Calibri"/>
                <w:sz w:val="24"/>
                <w:szCs w:val="24"/>
                <w:lang w:eastAsia="bg-BG"/>
              </w:rPr>
              <w:t>.</w:t>
            </w:r>
            <w:r>
              <w:rPr>
                <w:rFonts w:ascii="Calibri" w:eastAsia="Times New Roman" w:hAnsi="Calibri" w:cs="Calibri"/>
                <w:sz w:val="24"/>
                <w:szCs w:val="24"/>
                <w:lang w:val="en-US" w:eastAsia="bg-BG"/>
              </w:rPr>
              <w:t xml:space="preserve">2025 </w:t>
            </w:r>
            <w:r w:rsidRPr="00D11C4C">
              <w:rPr>
                <w:rFonts w:ascii="Calibri" w:eastAsia="Times New Roman" w:hAnsi="Calibri" w:cs="Calibri"/>
                <w:sz w:val="24"/>
                <w:szCs w:val="24"/>
                <w:lang w:eastAsia="bg-BG"/>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343D2F0" w14:textId="77777777" w:rsidR="00D11C4C" w:rsidRPr="00D11C4C" w:rsidRDefault="00D11C4C" w:rsidP="00D11C4C">
            <w:pPr>
              <w:spacing w:after="0" w:line="240" w:lineRule="auto"/>
              <w:rPr>
                <w:rFonts w:ascii="Times New Roman" w:eastAsia="Times New Roman" w:hAnsi="Times New Roman" w:cs="Times New Roman"/>
                <w:sz w:val="24"/>
                <w:szCs w:val="24"/>
                <w:lang w:eastAsia="bg-BG"/>
              </w:rPr>
            </w:pPr>
            <w:r w:rsidRPr="00D11C4C">
              <w:rPr>
                <w:rFonts w:ascii="Calibri" w:eastAsia="Times New Roman" w:hAnsi="Calibri" w:cs="Calibri"/>
                <w:sz w:val="24"/>
                <w:szCs w:val="24"/>
                <w:lang w:eastAsia="bg-BG"/>
              </w:rPr>
              <w:t>BB</w:t>
            </w:r>
          </w:p>
        </w:tc>
        <w:tc>
          <w:tcPr>
            <w:tcW w:w="0" w:type="auto"/>
            <w:tcBorders>
              <w:top w:val="outset" w:sz="6" w:space="0" w:color="auto"/>
              <w:left w:val="outset" w:sz="6" w:space="0" w:color="auto"/>
              <w:bottom w:val="outset" w:sz="6" w:space="0" w:color="auto"/>
              <w:right w:val="outset" w:sz="6" w:space="0" w:color="auto"/>
            </w:tcBorders>
            <w:vAlign w:val="center"/>
            <w:hideMark/>
          </w:tcPr>
          <w:p w14:paraId="5BFFFF60" w14:textId="77777777" w:rsidR="00D11C4C" w:rsidRPr="00D11C4C" w:rsidRDefault="00D11C4C" w:rsidP="00D11C4C">
            <w:pPr>
              <w:spacing w:after="0" w:line="240" w:lineRule="auto"/>
              <w:rPr>
                <w:rFonts w:ascii="Times New Roman" w:eastAsia="Times New Roman" w:hAnsi="Times New Roman" w:cs="Times New Roman"/>
                <w:sz w:val="24"/>
                <w:szCs w:val="24"/>
                <w:lang w:eastAsia="bg-BG"/>
              </w:rPr>
            </w:pPr>
            <w:r w:rsidRPr="00D11C4C">
              <w:rPr>
                <w:rFonts w:ascii="Calibri" w:eastAsia="Times New Roman" w:hAnsi="Calibri" w:cs="Calibri"/>
                <w:sz w:val="24"/>
                <w:szCs w:val="24"/>
                <w:lang w:eastAsia="bg-BG"/>
              </w:rPr>
              <w:t>295 лв./ 150,83</w:t>
            </w:r>
            <w:r w:rsidRPr="00D11C4C">
              <w:rPr>
                <w:rFonts w:ascii="Times New Roman" w:eastAsia="Times New Roman" w:hAnsi="Times New Roman" w:cs="Times New Roman"/>
                <w:sz w:val="24"/>
                <w:szCs w:val="24"/>
                <w:lang w:eastAsia="bg-BG"/>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6F4FCF1" w14:textId="77777777" w:rsidR="00D11C4C" w:rsidRPr="00D11C4C" w:rsidRDefault="00D11C4C" w:rsidP="00D11C4C">
            <w:pPr>
              <w:spacing w:after="0" w:line="240" w:lineRule="auto"/>
              <w:rPr>
                <w:rFonts w:ascii="Times New Roman" w:eastAsia="Times New Roman" w:hAnsi="Times New Roman" w:cs="Times New Roman"/>
                <w:sz w:val="24"/>
                <w:szCs w:val="24"/>
                <w:lang w:eastAsia="bg-BG"/>
              </w:rPr>
            </w:pPr>
            <w:r w:rsidRPr="00D11C4C">
              <w:rPr>
                <w:rFonts w:ascii="Calibri" w:eastAsia="Times New Roman" w:hAnsi="Calibri" w:cs="Calibri"/>
                <w:sz w:val="24"/>
                <w:szCs w:val="24"/>
                <w:lang w:eastAsia="bg-BG"/>
              </w:rPr>
              <w:t>435 лв./ 222,41</w:t>
            </w:r>
            <w:r w:rsidRPr="00D11C4C">
              <w:rPr>
                <w:rFonts w:ascii="Times New Roman" w:eastAsia="Times New Roman" w:hAnsi="Times New Roman" w:cs="Times New Roman"/>
                <w:sz w:val="24"/>
                <w:szCs w:val="24"/>
                <w:lang w:eastAsia="bg-BG"/>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F9865B7" w14:textId="77777777" w:rsidR="00D11C4C" w:rsidRPr="00D11C4C" w:rsidRDefault="00D11C4C" w:rsidP="00D11C4C">
            <w:pPr>
              <w:spacing w:after="0" w:line="240" w:lineRule="auto"/>
              <w:rPr>
                <w:rFonts w:ascii="Times New Roman" w:eastAsia="Times New Roman" w:hAnsi="Times New Roman" w:cs="Times New Roman"/>
                <w:sz w:val="24"/>
                <w:szCs w:val="24"/>
                <w:lang w:eastAsia="bg-BG"/>
              </w:rPr>
            </w:pPr>
            <w:r w:rsidRPr="00D11C4C">
              <w:rPr>
                <w:rFonts w:ascii="Calibri" w:eastAsia="Times New Roman" w:hAnsi="Calibri" w:cs="Calibri"/>
                <w:sz w:val="24"/>
                <w:szCs w:val="24"/>
                <w:lang w:eastAsia="bg-BG"/>
              </w:rPr>
              <w:t>295 лв./ 150,83</w:t>
            </w:r>
            <w:r w:rsidRPr="00D11C4C">
              <w:rPr>
                <w:rFonts w:ascii="Times New Roman" w:eastAsia="Times New Roman" w:hAnsi="Times New Roman" w:cs="Times New Roman"/>
                <w:sz w:val="24"/>
                <w:szCs w:val="24"/>
                <w:lang w:eastAsia="bg-BG"/>
              </w:rPr>
              <w:t>€</w:t>
            </w:r>
          </w:p>
        </w:tc>
      </w:tr>
    </w:tbl>
    <w:p w14:paraId="12E22D54" w14:textId="387AD83D" w:rsidR="00D11C4C" w:rsidRDefault="00D11C4C" w:rsidP="005F4055">
      <w:pPr>
        <w:rPr>
          <w:b/>
          <w:bCs/>
          <w:color w:val="0070C0"/>
        </w:rPr>
      </w:pPr>
    </w:p>
    <w:p w14:paraId="5BC66EF4" w14:textId="2880BFC8" w:rsidR="00313AE5" w:rsidRDefault="00313AE5" w:rsidP="005F4055">
      <w:pPr>
        <w:rPr>
          <w:b/>
          <w:bCs/>
          <w:color w:val="0070C0"/>
        </w:rPr>
      </w:pPr>
      <w:r>
        <w:rPr>
          <w:b/>
          <w:bCs/>
          <w:color w:val="0070C0"/>
        </w:rPr>
        <w:t xml:space="preserve">Цената включва: </w:t>
      </w:r>
    </w:p>
    <w:p w14:paraId="6E742C1F" w14:textId="77777777" w:rsidR="00313AE5" w:rsidRPr="00313AE5" w:rsidRDefault="00313AE5" w:rsidP="00313AE5"/>
    <w:p w14:paraId="79CD8836" w14:textId="6B046185" w:rsidR="00313AE5" w:rsidRPr="00313AE5" w:rsidRDefault="00313AE5" w:rsidP="00313AE5">
      <w:pPr>
        <w:pStyle w:val="ListParagraph"/>
        <w:numPr>
          <w:ilvl w:val="0"/>
          <w:numId w:val="1"/>
        </w:numPr>
      </w:pPr>
      <w:r w:rsidRPr="00313AE5">
        <w:t>транспорт с лицензиран авто</w:t>
      </w:r>
      <w:bookmarkStart w:id="2" w:name="_GoBack"/>
      <w:bookmarkEnd w:id="2"/>
      <w:r w:rsidRPr="00313AE5">
        <w:t>бус категория 4*</w:t>
      </w:r>
    </w:p>
    <w:p w14:paraId="5CEF6FA2" w14:textId="649BF34A" w:rsidR="00313AE5" w:rsidRPr="00313AE5" w:rsidRDefault="00313AE5" w:rsidP="00313AE5">
      <w:pPr>
        <w:pStyle w:val="ListParagraph"/>
        <w:numPr>
          <w:ilvl w:val="0"/>
          <w:numId w:val="1"/>
        </w:numPr>
      </w:pPr>
      <w:r w:rsidRPr="00313AE5">
        <w:t>митнически и магистрални такси</w:t>
      </w:r>
    </w:p>
    <w:p w14:paraId="689A88F8" w14:textId="6684B992" w:rsidR="00313AE5" w:rsidRPr="008226A7" w:rsidRDefault="00313AE5" w:rsidP="00313AE5">
      <w:pPr>
        <w:pStyle w:val="ListParagraph"/>
        <w:numPr>
          <w:ilvl w:val="0"/>
          <w:numId w:val="1"/>
        </w:numPr>
      </w:pPr>
      <w:r w:rsidRPr="008226A7">
        <w:t>2 нощувки със закуски в Чанаккале</w:t>
      </w:r>
    </w:p>
    <w:p w14:paraId="0B857A3F" w14:textId="140DEEBB" w:rsidR="00313AE5" w:rsidRPr="00313AE5" w:rsidRDefault="00313AE5" w:rsidP="00313AE5">
      <w:pPr>
        <w:pStyle w:val="ListParagraph"/>
        <w:numPr>
          <w:ilvl w:val="0"/>
          <w:numId w:val="1"/>
        </w:numPr>
      </w:pPr>
      <w:r w:rsidRPr="00313AE5">
        <w:t>медицинска застраховка с асистънс на база 5000 евро за лица до 69г. / от 70 до 85 г. с асистанс 4000 евро/ в ЗАД Лев Инс</w:t>
      </w:r>
    </w:p>
    <w:p w14:paraId="1AAF88CC" w14:textId="0CCFFDBE" w:rsidR="00313AE5" w:rsidRDefault="00313AE5" w:rsidP="00313AE5">
      <w:pPr>
        <w:pStyle w:val="ListParagraph"/>
        <w:numPr>
          <w:ilvl w:val="0"/>
          <w:numId w:val="1"/>
        </w:numPr>
      </w:pPr>
      <w:r w:rsidRPr="00313AE5">
        <w:t>екскурзоводско обслужване</w:t>
      </w:r>
    </w:p>
    <w:p w14:paraId="2246247D" w14:textId="323E8F5E" w:rsidR="00313AE5" w:rsidRDefault="00313AE5" w:rsidP="00313AE5">
      <w:pPr>
        <w:pStyle w:val="ListParagraph"/>
        <w:numPr>
          <w:ilvl w:val="0"/>
          <w:numId w:val="1"/>
        </w:numPr>
      </w:pPr>
      <w:r>
        <w:t>Обиколка на Чанаккале с местен екскурзовод</w:t>
      </w:r>
    </w:p>
    <w:p w14:paraId="250EE0D1" w14:textId="285E8AFE" w:rsidR="00313AE5" w:rsidRPr="00313AE5" w:rsidRDefault="00313AE5" w:rsidP="00313AE5">
      <w:pPr>
        <w:pStyle w:val="ListParagraph"/>
        <w:numPr>
          <w:ilvl w:val="0"/>
          <w:numId w:val="1"/>
        </w:numPr>
      </w:pPr>
      <w:r>
        <w:t xml:space="preserve">Посещение на парк </w:t>
      </w:r>
      <w:r w:rsidRPr="00313AE5">
        <w:t>"Уважение към историята“</w:t>
      </w:r>
    </w:p>
    <w:p w14:paraId="6E4A2635" w14:textId="0781BD68" w:rsidR="00313AE5" w:rsidRDefault="00313AE5" w:rsidP="005F4055">
      <w:pPr>
        <w:rPr>
          <w:b/>
          <w:bCs/>
          <w:color w:val="0070C0"/>
        </w:rPr>
      </w:pPr>
    </w:p>
    <w:p w14:paraId="174BF615" w14:textId="1ADB063F" w:rsidR="00313AE5" w:rsidRDefault="00313AE5" w:rsidP="005F4055">
      <w:pPr>
        <w:rPr>
          <w:b/>
          <w:bCs/>
          <w:color w:val="0070C0"/>
        </w:rPr>
      </w:pPr>
      <w:r>
        <w:rPr>
          <w:b/>
          <w:bCs/>
          <w:color w:val="0070C0"/>
        </w:rPr>
        <w:t xml:space="preserve">Цената не включва: </w:t>
      </w:r>
    </w:p>
    <w:p w14:paraId="21EE7688" w14:textId="77777777" w:rsidR="00313AE5" w:rsidRPr="00313AE5" w:rsidRDefault="00313AE5" w:rsidP="00313AE5">
      <w:pPr>
        <w:pStyle w:val="ListParagraph"/>
        <w:numPr>
          <w:ilvl w:val="0"/>
          <w:numId w:val="3"/>
        </w:numPr>
        <w:rPr>
          <w:b/>
          <w:bCs/>
          <w:color w:val="0070C0"/>
        </w:rPr>
      </w:pPr>
      <w:r>
        <w:t xml:space="preserve">разходи от личен характер </w:t>
      </w:r>
    </w:p>
    <w:p w14:paraId="6CB1D473" w14:textId="0F265A76" w:rsidR="00313AE5" w:rsidRPr="00313AE5" w:rsidRDefault="00313AE5" w:rsidP="00313AE5">
      <w:pPr>
        <w:pStyle w:val="ListParagraph"/>
        <w:numPr>
          <w:ilvl w:val="0"/>
          <w:numId w:val="3"/>
        </w:numPr>
        <w:rPr>
          <w:b/>
          <w:bCs/>
          <w:color w:val="0070C0"/>
        </w:rPr>
      </w:pPr>
      <w:r>
        <w:t xml:space="preserve">Екскурзия до Бехрамкале/Ассос и олтара на Зефс - 35 евро </w:t>
      </w:r>
      <w:r w:rsidRPr="00313AE5">
        <w:t>/ включен транспорт, входни такси, екскурзовод/</w:t>
      </w:r>
    </w:p>
    <w:p w14:paraId="5F8B4EC4" w14:textId="6B26149E" w:rsidR="00313AE5" w:rsidRPr="00313AE5" w:rsidRDefault="00313AE5" w:rsidP="00313AE5">
      <w:pPr>
        <w:pStyle w:val="ListParagraph"/>
        <w:numPr>
          <w:ilvl w:val="0"/>
          <w:numId w:val="3"/>
        </w:numPr>
        <w:rPr>
          <w:b/>
          <w:bCs/>
          <w:color w:val="0070C0"/>
        </w:rPr>
      </w:pPr>
      <w:r>
        <w:t>Екскурзия до  Троя 35 евро / включен транспорт, входни такси, екскурзовод/</w:t>
      </w:r>
    </w:p>
    <w:p w14:paraId="7F943BAA" w14:textId="6A722733" w:rsidR="00313AE5" w:rsidRDefault="00313AE5" w:rsidP="00313AE5">
      <w:pPr>
        <w:rPr>
          <w:b/>
          <w:bCs/>
          <w:color w:val="0070C0"/>
        </w:rPr>
      </w:pPr>
    </w:p>
    <w:p w14:paraId="5680C54D" w14:textId="3492AC30" w:rsidR="00313AE5" w:rsidRPr="00313AE5" w:rsidRDefault="00313AE5" w:rsidP="00313AE5">
      <w:pPr>
        <w:rPr>
          <w:b/>
          <w:bCs/>
          <w:color w:val="0070C0"/>
        </w:rPr>
      </w:pPr>
      <w:r w:rsidRPr="00313AE5">
        <w:rPr>
          <w:b/>
          <w:bCs/>
          <w:color w:val="0070C0"/>
        </w:rPr>
        <w:t>Начин на плащане:</w:t>
      </w:r>
    </w:p>
    <w:p w14:paraId="0B4E00D5" w14:textId="68372C14" w:rsidR="00313AE5" w:rsidRPr="00313AE5" w:rsidRDefault="00313AE5" w:rsidP="00313AE5">
      <w:pPr>
        <w:pStyle w:val="ListParagraph"/>
        <w:numPr>
          <w:ilvl w:val="0"/>
          <w:numId w:val="4"/>
        </w:numPr>
      </w:pPr>
      <w:r w:rsidRPr="00313AE5">
        <w:t>депозит – 30 % от пакетната цена;</w:t>
      </w:r>
    </w:p>
    <w:p w14:paraId="4A82AAB1" w14:textId="2D53B5D6" w:rsidR="00313AE5" w:rsidRPr="00313AE5" w:rsidRDefault="00313AE5" w:rsidP="00313AE5">
      <w:pPr>
        <w:pStyle w:val="ListParagraph"/>
        <w:numPr>
          <w:ilvl w:val="0"/>
          <w:numId w:val="4"/>
        </w:numPr>
      </w:pPr>
      <w:r w:rsidRPr="00313AE5">
        <w:t>доплащане - 7 дни преди отпътуване</w:t>
      </w:r>
    </w:p>
    <w:p w14:paraId="11DB34CD" w14:textId="77777777" w:rsidR="00313AE5" w:rsidRPr="00313AE5" w:rsidRDefault="00313AE5" w:rsidP="00313AE5">
      <w:pPr>
        <w:rPr>
          <w:b/>
          <w:bCs/>
          <w:color w:val="0070C0"/>
        </w:rPr>
      </w:pPr>
    </w:p>
    <w:p w14:paraId="2185508D" w14:textId="77777777" w:rsidR="00313AE5" w:rsidRPr="00313AE5" w:rsidRDefault="00313AE5" w:rsidP="00313AE5">
      <w:pPr>
        <w:rPr>
          <w:b/>
          <w:bCs/>
          <w:color w:val="0070C0"/>
        </w:rPr>
      </w:pPr>
    </w:p>
    <w:p w14:paraId="6B0708CA" w14:textId="6021CB60" w:rsidR="00313AE5" w:rsidRPr="00313AE5" w:rsidRDefault="00313AE5" w:rsidP="00313AE5">
      <w:pPr>
        <w:rPr>
          <w:b/>
          <w:bCs/>
          <w:color w:val="0070C0"/>
        </w:rPr>
      </w:pPr>
      <w:r w:rsidRPr="00313AE5">
        <w:rPr>
          <w:b/>
          <w:bCs/>
          <w:color w:val="0070C0"/>
        </w:rPr>
        <w:t>Срок за уведомяване при недостигнат минимален брой туристи:</w:t>
      </w:r>
    </w:p>
    <w:p w14:paraId="07E924F9" w14:textId="52F6240F" w:rsidR="00313AE5" w:rsidRPr="00313AE5" w:rsidRDefault="00313AE5" w:rsidP="00313AE5">
      <w:pPr>
        <w:pStyle w:val="ListParagraph"/>
        <w:numPr>
          <w:ilvl w:val="0"/>
          <w:numId w:val="5"/>
        </w:numPr>
      </w:pPr>
      <w:r w:rsidRPr="00313AE5">
        <w:t>7 дни преди датата на отпътуване</w:t>
      </w:r>
    </w:p>
    <w:p w14:paraId="19D98439" w14:textId="77777777" w:rsidR="00313AE5" w:rsidRPr="00313AE5" w:rsidRDefault="00313AE5" w:rsidP="00313AE5">
      <w:pPr>
        <w:rPr>
          <w:b/>
          <w:bCs/>
          <w:color w:val="0070C0"/>
        </w:rPr>
      </w:pPr>
    </w:p>
    <w:p w14:paraId="7A8920B9" w14:textId="4521D9BA" w:rsidR="00313AE5" w:rsidRPr="00313AE5" w:rsidRDefault="00313AE5" w:rsidP="00313AE5">
      <w:pPr>
        <w:rPr>
          <w:b/>
          <w:bCs/>
          <w:color w:val="0070C0"/>
        </w:rPr>
      </w:pPr>
      <w:r w:rsidRPr="00313AE5">
        <w:rPr>
          <w:b/>
          <w:bCs/>
          <w:color w:val="0070C0"/>
        </w:rPr>
        <w:t>Пътуване на лица с ограничена подвижност:</w:t>
      </w:r>
    </w:p>
    <w:p w14:paraId="79B942A1" w14:textId="67F049EB" w:rsidR="00313AE5" w:rsidRPr="00313AE5" w:rsidRDefault="00313AE5" w:rsidP="00313AE5">
      <w:pPr>
        <w:pStyle w:val="ListParagraph"/>
        <w:numPr>
          <w:ilvl w:val="0"/>
          <w:numId w:val="5"/>
        </w:numPr>
      </w:pPr>
      <w:r w:rsidRPr="00313AE5">
        <w:lastRenderedPageBreak/>
        <w:t>Пътуването като цяло НЕ Е подходящо за лица с ограничена подвижност.</w:t>
      </w:r>
    </w:p>
    <w:p w14:paraId="0E1A6681" w14:textId="77777777" w:rsidR="00313AE5" w:rsidRPr="00313AE5" w:rsidRDefault="00313AE5" w:rsidP="00313AE5">
      <w:pPr>
        <w:rPr>
          <w:b/>
          <w:bCs/>
          <w:color w:val="0070C0"/>
        </w:rPr>
      </w:pPr>
    </w:p>
    <w:p w14:paraId="25DB0EC6" w14:textId="77777777" w:rsidR="00313AE5" w:rsidRPr="00313AE5" w:rsidRDefault="00313AE5" w:rsidP="00313AE5">
      <w:pPr>
        <w:rPr>
          <w:b/>
          <w:bCs/>
          <w:color w:val="0070C0"/>
        </w:rPr>
      </w:pPr>
      <w:r w:rsidRPr="00313AE5">
        <w:rPr>
          <w:b/>
          <w:bCs/>
          <w:color w:val="0070C0"/>
        </w:rPr>
        <w:t>Полезна информация:</w:t>
      </w:r>
    </w:p>
    <w:p w14:paraId="2A788B3A" w14:textId="11279D26" w:rsidR="00313AE5" w:rsidRPr="00313AE5" w:rsidRDefault="00313AE5" w:rsidP="00313AE5">
      <w:pPr>
        <w:pStyle w:val="ListParagraph"/>
        <w:numPr>
          <w:ilvl w:val="0"/>
          <w:numId w:val="5"/>
        </w:numPr>
        <w:rPr>
          <w:color w:val="0070C0"/>
        </w:rPr>
      </w:pPr>
      <w:r w:rsidRPr="00313AE5">
        <w:t>Валутен курс 1 лира = 0.05 лева</w:t>
      </w:r>
    </w:p>
    <w:p w14:paraId="2F199475" w14:textId="7CDED03E" w:rsidR="00313AE5" w:rsidRPr="00313AE5" w:rsidRDefault="00313AE5" w:rsidP="00313AE5">
      <w:pPr>
        <w:pStyle w:val="ListParagraph"/>
        <w:numPr>
          <w:ilvl w:val="0"/>
          <w:numId w:val="5"/>
        </w:numPr>
      </w:pPr>
      <w:r w:rsidRPr="00313AE5">
        <w:t>За чуждестранни граждани от определени страни се изисква издаване на виза или заплащането на такса на самата граница. Подробна информация за визовите формалности можете да получите във Визов отдел на Турско консулство в София на тел. 02/9355500</w:t>
      </w:r>
    </w:p>
    <w:p w14:paraId="03612227" w14:textId="77777777" w:rsidR="00313AE5" w:rsidRPr="00313AE5" w:rsidRDefault="00313AE5" w:rsidP="00313AE5">
      <w:pPr>
        <w:rPr>
          <w:b/>
          <w:bCs/>
          <w:color w:val="0070C0"/>
        </w:rPr>
      </w:pPr>
    </w:p>
    <w:p w14:paraId="4067D6E2" w14:textId="77777777" w:rsidR="00313AE5" w:rsidRPr="00313AE5" w:rsidRDefault="00313AE5" w:rsidP="00313AE5">
      <w:pPr>
        <w:rPr>
          <w:b/>
          <w:bCs/>
          <w:color w:val="0070C0"/>
        </w:rPr>
      </w:pPr>
    </w:p>
    <w:p w14:paraId="4EDE2FF7" w14:textId="5EFE879D" w:rsidR="00313AE5" w:rsidRPr="00313AE5" w:rsidRDefault="00313AE5" w:rsidP="00313AE5">
      <w:pPr>
        <w:rPr>
          <w:b/>
          <w:bCs/>
          <w:color w:val="0070C0"/>
        </w:rPr>
      </w:pPr>
      <w:r w:rsidRPr="00313AE5">
        <w:rPr>
          <w:b/>
          <w:bCs/>
          <w:color w:val="0070C0"/>
        </w:rPr>
        <w:t>Необходими документи:</w:t>
      </w:r>
    </w:p>
    <w:p w14:paraId="67E671B6" w14:textId="31DD1FF8" w:rsidR="00313AE5" w:rsidRPr="00313AE5" w:rsidRDefault="00313AE5" w:rsidP="00313AE5">
      <w:pPr>
        <w:pStyle w:val="ListParagraph"/>
        <w:numPr>
          <w:ilvl w:val="0"/>
          <w:numId w:val="6"/>
        </w:numPr>
        <w:rPr>
          <w:color w:val="0070C0"/>
        </w:rPr>
      </w:pPr>
      <w:r w:rsidRPr="00313AE5">
        <w:t>валиден задграничен паспорт или лична карта с 6 месечна валидност към датата на заминаване;</w:t>
      </w:r>
    </w:p>
    <w:p w14:paraId="0EA53E31" w14:textId="0F5020CD" w:rsidR="00313AE5" w:rsidRPr="00313AE5" w:rsidRDefault="00313AE5" w:rsidP="00313AE5">
      <w:pPr>
        <w:pStyle w:val="ListParagraph"/>
        <w:numPr>
          <w:ilvl w:val="0"/>
          <w:numId w:val="6"/>
        </w:numPr>
      </w:pPr>
      <w:r w:rsidRPr="00313AE5">
        <w:t>за деца до 18г., пътуващи без родители или с 1 родител - нотариално заверена декларация от родителите /оригинал и копие/</w:t>
      </w:r>
    </w:p>
    <w:p w14:paraId="2EC3DD17" w14:textId="77777777" w:rsidR="00313AE5" w:rsidRPr="00313AE5" w:rsidRDefault="00313AE5" w:rsidP="00313AE5">
      <w:pPr>
        <w:rPr>
          <w:b/>
          <w:bCs/>
          <w:color w:val="0070C0"/>
        </w:rPr>
      </w:pPr>
    </w:p>
    <w:p w14:paraId="2B059319" w14:textId="77777777" w:rsidR="00313AE5" w:rsidRPr="00313AE5" w:rsidRDefault="00313AE5" w:rsidP="00313AE5">
      <w:pPr>
        <w:rPr>
          <w:b/>
          <w:bCs/>
          <w:color w:val="0070C0"/>
        </w:rPr>
      </w:pPr>
      <w:r w:rsidRPr="00313AE5">
        <w:rPr>
          <w:b/>
          <w:bCs/>
          <w:color w:val="0070C0"/>
        </w:rPr>
        <w:t>Забележка</w:t>
      </w:r>
    </w:p>
    <w:p w14:paraId="0FE8F476" w14:textId="77777777" w:rsidR="00313AE5" w:rsidRPr="00313AE5" w:rsidRDefault="00313AE5" w:rsidP="00313AE5">
      <w:pPr>
        <w:rPr>
          <w:b/>
          <w:bCs/>
          <w:color w:val="0070C0"/>
        </w:rPr>
      </w:pPr>
    </w:p>
    <w:p w14:paraId="76F70631" w14:textId="77777777" w:rsidR="00313AE5" w:rsidRPr="00313AE5" w:rsidRDefault="00313AE5" w:rsidP="00313AE5">
      <w:pPr>
        <w:rPr>
          <w:b/>
          <w:bCs/>
          <w:i/>
          <w:iCs/>
          <w:color w:val="0070C0"/>
        </w:rPr>
      </w:pPr>
      <w:r w:rsidRPr="00313AE5">
        <w:rPr>
          <w:b/>
          <w:bCs/>
          <w:color w:val="0070C0"/>
        </w:rPr>
        <w:t xml:space="preserve">    </w:t>
      </w:r>
      <w:r w:rsidRPr="00313AE5">
        <w:rPr>
          <w:b/>
          <w:bCs/>
          <w:i/>
          <w:iCs/>
        </w:rPr>
        <w:t>Агенцията НЕ носи отговорност при промяна на музейните такси и работното време на музеите. Посочените такси са съгласно информацията, поместена в сайтовете на посочените туристически обекти. Възможно е да настъпят промени. Туристическата агенция си запазва правото на промени в последователността на изпълнение на програмата по независещи от нея причини и не носи отговорност за туристи, недопуснати от съответните гранични власти.</w:t>
      </w:r>
    </w:p>
    <w:sectPr w:rsidR="00313AE5" w:rsidRPr="00313AE5" w:rsidSect="005F405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F12E2"/>
    <w:multiLevelType w:val="hybridMultilevel"/>
    <w:tmpl w:val="1E7027D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B8364B4"/>
    <w:multiLevelType w:val="hybridMultilevel"/>
    <w:tmpl w:val="00A4DE50"/>
    <w:lvl w:ilvl="0" w:tplc="04020001">
      <w:start w:val="1"/>
      <w:numFmt w:val="bullet"/>
      <w:lvlText w:val=""/>
      <w:lvlJc w:val="left"/>
      <w:pPr>
        <w:ind w:left="920" w:hanging="360"/>
      </w:pPr>
      <w:rPr>
        <w:rFonts w:ascii="Symbol" w:hAnsi="Symbol" w:hint="default"/>
      </w:rPr>
    </w:lvl>
    <w:lvl w:ilvl="1" w:tplc="04020003" w:tentative="1">
      <w:start w:val="1"/>
      <w:numFmt w:val="bullet"/>
      <w:lvlText w:val="o"/>
      <w:lvlJc w:val="left"/>
      <w:pPr>
        <w:ind w:left="1640" w:hanging="360"/>
      </w:pPr>
      <w:rPr>
        <w:rFonts w:ascii="Courier New" w:hAnsi="Courier New" w:cs="Courier New" w:hint="default"/>
      </w:rPr>
    </w:lvl>
    <w:lvl w:ilvl="2" w:tplc="04020005" w:tentative="1">
      <w:start w:val="1"/>
      <w:numFmt w:val="bullet"/>
      <w:lvlText w:val=""/>
      <w:lvlJc w:val="left"/>
      <w:pPr>
        <w:ind w:left="2360" w:hanging="360"/>
      </w:pPr>
      <w:rPr>
        <w:rFonts w:ascii="Wingdings" w:hAnsi="Wingdings" w:hint="default"/>
      </w:rPr>
    </w:lvl>
    <w:lvl w:ilvl="3" w:tplc="04020001" w:tentative="1">
      <w:start w:val="1"/>
      <w:numFmt w:val="bullet"/>
      <w:lvlText w:val=""/>
      <w:lvlJc w:val="left"/>
      <w:pPr>
        <w:ind w:left="3080" w:hanging="360"/>
      </w:pPr>
      <w:rPr>
        <w:rFonts w:ascii="Symbol" w:hAnsi="Symbol" w:hint="default"/>
      </w:rPr>
    </w:lvl>
    <w:lvl w:ilvl="4" w:tplc="04020003" w:tentative="1">
      <w:start w:val="1"/>
      <w:numFmt w:val="bullet"/>
      <w:lvlText w:val="o"/>
      <w:lvlJc w:val="left"/>
      <w:pPr>
        <w:ind w:left="3800" w:hanging="360"/>
      </w:pPr>
      <w:rPr>
        <w:rFonts w:ascii="Courier New" w:hAnsi="Courier New" w:cs="Courier New" w:hint="default"/>
      </w:rPr>
    </w:lvl>
    <w:lvl w:ilvl="5" w:tplc="04020005" w:tentative="1">
      <w:start w:val="1"/>
      <w:numFmt w:val="bullet"/>
      <w:lvlText w:val=""/>
      <w:lvlJc w:val="left"/>
      <w:pPr>
        <w:ind w:left="4520" w:hanging="360"/>
      </w:pPr>
      <w:rPr>
        <w:rFonts w:ascii="Wingdings" w:hAnsi="Wingdings" w:hint="default"/>
      </w:rPr>
    </w:lvl>
    <w:lvl w:ilvl="6" w:tplc="04020001" w:tentative="1">
      <w:start w:val="1"/>
      <w:numFmt w:val="bullet"/>
      <w:lvlText w:val=""/>
      <w:lvlJc w:val="left"/>
      <w:pPr>
        <w:ind w:left="5240" w:hanging="360"/>
      </w:pPr>
      <w:rPr>
        <w:rFonts w:ascii="Symbol" w:hAnsi="Symbol" w:hint="default"/>
      </w:rPr>
    </w:lvl>
    <w:lvl w:ilvl="7" w:tplc="04020003" w:tentative="1">
      <w:start w:val="1"/>
      <w:numFmt w:val="bullet"/>
      <w:lvlText w:val="o"/>
      <w:lvlJc w:val="left"/>
      <w:pPr>
        <w:ind w:left="5960" w:hanging="360"/>
      </w:pPr>
      <w:rPr>
        <w:rFonts w:ascii="Courier New" w:hAnsi="Courier New" w:cs="Courier New" w:hint="default"/>
      </w:rPr>
    </w:lvl>
    <w:lvl w:ilvl="8" w:tplc="04020005" w:tentative="1">
      <w:start w:val="1"/>
      <w:numFmt w:val="bullet"/>
      <w:lvlText w:val=""/>
      <w:lvlJc w:val="left"/>
      <w:pPr>
        <w:ind w:left="6680" w:hanging="360"/>
      </w:pPr>
      <w:rPr>
        <w:rFonts w:ascii="Wingdings" w:hAnsi="Wingdings" w:hint="default"/>
      </w:rPr>
    </w:lvl>
  </w:abstractNum>
  <w:abstractNum w:abstractNumId="2" w15:restartNumberingAfterBreak="0">
    <w:nsid w:val="2E7754A9"/>
    <w:multiLevelType w:val="hybridMultilevel"/>
    <w:tmpl w:val="3F3AE41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53953797"/>
    <w:multiLevelType w:val="hybridMultilevel"/>
    <w:tmpl w:val="9E72F14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65A41733"/>
    <w:multiLevelType w:val="hybridMultilevel"/>
    <w:tmpl w:val="0EECDBD6"/>
    <w:lvl w:ilvl="0" w:tplc="04020001">
      <w:start w:val="1"/>
      <w:numFmt w:val="bullet"/>
      <w:lvlText w:val=""/>
      <w:lvlJc w:val="left"/>
      <w:pPr>
        <w:ind w:left="920" w:hanging="360"/>
      </w:pPr>
      <w:rPr>
        <w:rFonts w:ascii="Symbol" w:hAnsi="Symbol" w:hint="default"/>
      </w:rPr>
    </w:lvl>
    <w:lvl w:ilvl="1" w:tplc="04020003" w:tentative="1">
      <w:start w:val="1"/>
      <w:numFmt w:val="bullet"/>
      <w:lvlText w:val="o"/>
      <w:lvlJc w:val="left"/>
      <w:pPr>
        <w:ind w:left="1640" w:hanging="360"/>
      </w:pPr>
      <w:rPr>
        <w:rFonts w:ascii="Courier New" w:hAnsi="Courier New" w:cs="Courier New" w:hint="default"/>
      </w:rPr>
    </w:lvl>
    <w:lvl w:ilvl="2" w:tplc="04020005" w:tentative="1">
      <w:start w:val="1"/>
      <w:numFmt w:val="bullet"/>
      <w:lvlText w:val=""/>
      <w:lvlJc w:val="left"/>
      <w:pPr>
        <w:ind w:left="2360" w:hanging="360"/>
      </w:pPr>
      <w:rPr>
        <w:rFonts w:ascii="Wingdings" w:hAnsi="Wingdings" w:hint="default"/>
      </w:rPr>
    </w:lvl>
    <w:lvl w:ilvl="3" w:tplc="04020001" w:tentative="1">
      <w:start w:val="1"/>
      <w:numFmt w:val="bullet"/>
      <w:lvlText w:val=""/>
      <w:lvlJc w:val="left"/>
      <w:pPr>
        <w:ind w:left="3080" w:hanging="360"/>
      </w:pPr>
      <w:rPr>
        <w:rFonts w:ascii="Symbol" w:hAnsi="Symbol" w:hint="default"/>
      </w:rPr>
    </w:lvl>
    <w:lvl w:ilvl="4" w:tplc="04020003" w:tentative="1">
      <w:start w:val="1"/>
      <w:numFmt w:val="bullet"/>
      <w:lvlText w:val="o"/>
      <w:lvlJc w:val="left"/>
      <w:pPr>
        <w:ind w:left="3800" w:hanging="360"/>
      </w:pPr>
      <w:rPr>
        <w:rFonts w:ascii="Courier New" w:hAnsi="Courier New" w:cs="Courier New" w:hint="default"/>
      </w:rPr>
    </w:lvl>
    <w:lvl w:ilvl="5" w:tplc="04020005" w:tentative="1">
      <w:start w:val="1"/>
      <w:numFmt w:val="bullet"/>
      <w:lvlText w:val=""/>
      <w:lvlJc w:val="left"/>
      <w:pPr>
        <w:ind w:left="4520" w:hanging="360"/>
      </w:pPr>
      <w:rPr>
        <w:rFonts w:ascii="Wingdings" w:hAnsi="Wingdings" w:hint="default"/>
      </w:rPr>
    </w:lvl>
    <w:lvl w:ilvl="6" w:tplc="04020001" w:tentative="1">
      <w:start w:val="1"/>
      <w:numFmt w:val="bullet"/>
      <w:lvlText w:val=""/>
      <w:lvlJc w:val="left"/>
      <w:pPr>
        <w:ind w:left="5240" w:hanging="360"/>
      </w:pPr>
      <w:rPr>
        <w:rFonts w:ascii="Symbol" w:hAnsi="Symbol" w:hint="default"/>
      </w:rPr>
    </w:lvl>
    <w:lvl w:ilvl="7" w:tplc="04020003" w:tentative="1">
      <w:start w:val="1"/>
      <w:numFmt w:val="bullet"/>
      <w:lvlText w:val="o"/>
      <w:lvlJc w:val="left"/>
      <w:pPr>
        <w:ind w:left="5960" w:hanging="360"/>
      </w:pPr>
      <w:rPr>
        <w:rFonts w:ascii="Courier New" w:hAnsi="Courier New" w:cs="Courier New" w:hint="default"/>
      </w:rPr>
    </w:lvl>
    <w:lvl w:ilvl="8" w:tplc="04020005" w:tentative="1">
      <w:start w:val="1"/>
      <w:numFmt w:val="bullet"/>
      <w:lvlText w:val=""/>
      <w:lvlJc w:val="left"/>
      <w:pPr>
        <w:ind w:left="6680" w:hanging="360"/>
      </w:pPr>
      <w:rPr>
        <w:rFonts w:ascii="Wingdings" w:hAnsi="Wingdings" w:hint="default"/>
      </w:rPr>
    </w:lvl>
  </w:abstractNum>
  <w:abstractNum w:abstractNumId="5" w15:restartNumberingAfterBreak="0">
    <w:nsid w:val="79E34D4E"/>
    <w:multiLevelType w:val="hybridMultilevel"/>
    <w:tmpl w:val="DBFCEFF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757"/>
    <w:rsid w:val="002050CD"/>
    <w:rsid w:val="00263DDB"/>
    <w:rsid w:val="002D37F5"/>
    <w:rsid w:val="00313AE5"/>
    <w:rsid w:val="0045380D"/>
    <w:rsid w:val="004B5178"/>
    <w:rsid w:val="005F4055"/>
    <w:rsid w:val="008226A7"/>
    <w:rsid w:val="00A55286"/>
    <w:rsid w:val="00AE2F3A"/>
    <w:rsid w:val="00AF1D6E"/>
    <w:rsid w:val="00B13D73"/>
    <w:rsid w:val="00D11C4C"/>
    <w:rsid w:val="00D85757"/>
    <w:rsid w:val="00EF174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B07DF"/>
  <w15:chartTrackingRefBased/>
  <w15:docId w15:val="{DEF9C28E-024C-4A5A-9929-E04969FD4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11C4C"/>
    <w:rPr>
      <w:b/>
      <w:bCs/>
    </w:rPr>
  </w:style>
  <w:style w:type="paragraph" w:styleId="ListParagraph">
    <w:name w:val="List Paragraph"/>
    <w:basedOn w:val="Normal"/>
    <w:uiPriority w:val="34"/>
    <w:qFormat/>
    <w:rsid w:val="00313A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2417935">
      <w:bodyDiv w:val="1"/>
      <w:marLeft w:val="0"/>
      <w:marRight w:val="0"/>
      <w:marTop w:val="0"/>
      <w:marBottom w:val="0"/>
      <w:divBdr>
        <w:top w:val="none" w:sz="0" w:space="0" w:color="auto"/>
        <w:left w:val="none" w:sz="0" w:space="0" w:color="auto"/>
        <w:bottom w:val="none" w:sz="0" w:space="0" w:color="auto"/>
        <w:right w:val="none" w:sz="0" w:space="0" w:color="auto"/>
      </w:divBdr>
      <w:divsChild>
        <w:div w:id="1469200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804</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info@stenlitravel.com</dc:creator>
  <cp:keywords/>
  <dc:description/>
  <cp:lastModifiedBy>info@stenlitravel.com</cp:lastModifiedBy>
  <cp:revision>2</cp:revision>
  <dcterms:created xsi:type="dcterms:W3CDTF">2025-07-23T12:34:00Z</dcterms:created>
  <dcterms:modified xsi:type="dcterms:W3CDTF">2025-07-23T12:34:00Z</dcterms:modified>
</cp:coreProperties>
</file>